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:rsidR="000F2AEB" w:rsidRDefault="000F2AEB" w:rsidP="000F2AEB"/>
    <w:p w:rsidR="000F2AEB" w:rsidRDefault="000F2AEB" w:rsidP="000F2AEB">
      <w:pPr>
        <w:jc w:val="center"/>
        <w:rPr>
          <w:rFonts w:ascii="Calibri" w:hAnsi="Calibri" w:cs="Calibri"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90AD5">
        <w:rPr>
          <w:rFonts w:ascii="Cambria" w:hAnsi="Cambria"/>
          <w:b/>
          <w:bCs/>
          <w:color w:val="548DD4"/>
          <w:sz w:val="52"/>
          <w:szCs w:val="52"/>
        </w:rPr>
        <w:t>1</w:t>
      </w:r>
    </w:p>
    <w:p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:rsidR="00C90AD5" w:rsidRDefault="00C90AD5" w:rsidP="00C90AD5">
      <w:pPr>
        <w:jc w:val="center"/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La Conferenza</w:t>
      </w:r>
      <w:r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 xml:space="preserve"> </w:t>
      </w: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sul futuro dell’Europa</w:t>
      </w:r>
    </w:p>
    <w:p w:rsidR="00C90AD5" w:rsidRPr="00AA1FB3" w:rsidRDefault="00C90AD5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olor w:val="0070C0"/>
          <w:sz w:val="40"/>
          <w:szCs w:val="40"/>
        </w:rPr>
        <w:t>Un nuovo slancio per la democrazia europea</w:t>
      </w:r>
    </w:p>
    <w:p w:rsidR="00740F85" w:rsidRPr="00FE6B60" w:rsidRDefault="00740F85">
      <w:pPr>
        <w:ind w:right="-27"/>
        <w:jc w:val="center"/>
        <w:rPr>
          <w:b/>
          <w:smallCaps/>
        </w:rPr>
      </w:pPr>
    </w:p>
    <w:p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:rsidR="003E18B2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</w:p>
    <w:p w:rsidR="0083114E" w:rsidRPr="00AA1FB3" w:rsidRDefault="00583EF0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t>UNIVERSITA’ DI BOLOGNA</w:t>
      </w:r>
    </w:p>
    <w:p w:rsidR="00F57381" w:rsidRPr="00AA1FB3" w:rsidRDefault="00F57381" w:rsidP="00D30402">
      <w:pPr>
        <w:rPr>
          <w:rFonts w:ascii="Georgia" w:hAnsi="Georgia" w:cs="Georgia"/>
          <w:sz w:val="36"/>
        </w:rPr>
      </w:pPr>
    </w:p>
    <w:p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:rsidR="00D30402" w:rsidRPr="00AA1FB3" w:rsidRDefault="00583EF0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t>La Conferenza sul Futuro dell’Europa: quale ruolo per i cittadini?</w:t>
      </w:r>
    </w:p>
    <w:p w:rsidR="00AA1FB3" w:rsidRDefault="008A3706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  <w:r>
        <w:rPr>
          <w:rFonts w:ascii="Calibri" w:hAnsi="Calibri" w:cs="Calibri"/>
          <w:b/>
          <w:smallCaps/>
          <w:color w:val="4F81BD" w:themeColor="accent1"/>
          <w:sz w:val="44"/>
          <w:szCs w:val="40"/>
        </w:rPr>
        <w:t>20/10/21; 03/11/21; 17/11/21; 01/12/21</w:t>
      </w:r>
    </w:p>
    <w:p w:rsidR="00A15527" w:rsidRDefault="00A15527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:rsidR="00AA1FB3" w:rsidRDefault="00AA1FB3" w:rsidP="00D30402">
      <w:pPr>
        <w:ind w:right="-27"/>
        <w:rPr>
          <w:noProof/>
          <w:lang w:eastAsia="it-IT"/>
        </w:rPr>
      </w:pPr>
    </w:p>
    <w:p w:rsidR="00701C5B" w:rsidRDefault="00A15527" w:rsidP="00F955C4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noProof/>
          <w:sz w:val="36"/>
          <w:lang w:eastAsia="it-IT"/>
        </w:rPr>
        <w:drawing>
          <wp:inline distT="0" distB="0" distL="0" distR="0">
            <wp:extent cx="5961703" cy="22669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25" cy="22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27" w:rsidRDefault="00A15527" w:rsidP="00A15527">
      <w:pPr>
        <w:rPr>
          <w:rFonts w:ascii="Georgia" w:hAnsi="Georgia" w:cs="Georgia"/>
          <w:sz w:val="36"/>
        </w:rPr>
      </w:pPr>
    </w:p>
    <w:p w:rsidR="00A15527" w:rsidRPr="00F955C4" w:rsidRDefault="00A15527" w:rsidP="00A15527">
      <w:pPr>
        <w:rPr>
          <w:rFonts w:ascii="Georgia" w:hAnsi="Georgia" w:cs="Georgia"/>
          <w:sz w:val="36"/>
        </w:rPr>
      </w:pPr>
    </w:p>
    <w:p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D10C1D" w:rsidTr="00AA1FB3">
        <w:tc>
          <w:tcPr>
            <w:tcW w:w="9556" w:type="dxa"/>
            <w:shd w:val="clear" w:color="auto" w:fill="0066FF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:rsidR="00740F85" w:rsidRDefault="00740F85" w:rsidP="009E1296"/>
    <w:p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Titolo del progetto di </w:t>
      </w:r>
      <w:proofErr w:type="gramStart"/>
      <w:r>
        <w:rPr>
          <w:rFonts w:ascii="Arial" w:hAnsi="Arial" w:cs="Arial"/>
          <w:b/>
          <w:sz w:val="24"/>
          <w:szCs w:val="24"/>
        </w:rPr>
        <w:t>rete</w:t>
      </w:r>
      <w:r w:rsidR="00AA1FB3">
        <w:rPr>
          <w:rFonts w:ascii="Arial" w:hAnsi="Arial" w:cs="Arial"/>
          <w:b/>
          <w:sz w:val="24"/>
          <w:szCs w:val="24"/>
        </w:rPr>
        <w:t xml:space="preserve">:  </w:t>
      </w:r>
      <w:r w:rsidR="00D50407" w:rsidRPr="00D50407">
        <w:rPr>
          <w:rFonts w:ascii="Arial" w:hAnsi="Arial" w:cs="Arial"/>
          <w:sz w:val="28"/>
          <w:szCs w:val="28"/>
        </w:rPr>
        <w:t>La</w:t>
      </w:r>
      <w:proofErr w:type="gramEnd"/>
      <w:r w:rsidR="00D50407" w:rsidRPr="00D50407">
        <w:rPr>
          <w:rFonts w:ascii="Arial" w:hAnsi="Arial" w:cs="Arial"/>
          <w:sz w:val="28"/>
          <w:szCs w:val="28"/>
        </w:rPr>
        <w:t xml:space="preserve"> Conferenza sul futuro dell’Europa. Un nuovo slancio per la democrazia europea</w:t>
      </w:r>
    </w:p>
    <w:p w:rsidR="00AA1FB3" w:rsidRDefault="00AA1FB3" w:rsidP="00AA1FB3">
      <w:pPr>
        <w:rPr>
          <w:rFonts w:ascii="Arial" w:hAnsi="Arial" w:cs="Arial"/>
          <w:sz w:val="24"/>
          <w:szCs w:val="24"/>
        </w:rPr>
      </w:pPr>
    </w:p>
    <w:p w:rsidR="00AA1FB3" w:rsidRDefault="00AA1FB3" w:rsidP="00AA1FB3">
      <w:pPr>
        <w:rPr>
          <w:rFonts w:ascii="Arial" w:hAnsi="Arial" w:cs="Arial"/>
          <w:sz w:val="24"/>
          <w:szCs w:val="24"/>
        </w:rPr>
      </w:pPr>
    </w:p>
    <w:p w:rsidR="00740F85" w:rsidRPr="00A03FDF" w:rsidRDefault="00740F85" w:rsidP="00AA1FB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6D4631">
        <w:rPr>
          <w:rFonts w:ascii="Arial" w:hAnsi="Arial" w:cs="Arial"/>
          <w:sz w:val="24"/>
          <w:szCs w:val="24"/>
        </w:rPr>
        <w:t>ottobre-dicembre</w:t>
      </w:r>
      <w:r w:rsidR="00C90AD5">
        <w:rPr>
          <w:rFonts w:ascii="Arial" w:hAnsi="Arial" w:cs="Arial"/>
          <w:sz w:val="24"/>
          <w:szCs w:val="24"/>
        </w:rPr>
        <w:t xml:space="preserve"> 2021</w:t>
      </w:r>
    </w:p>
    <w:p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697573">
        <w:rPr>
          <w:rFonts w:ascii="Arial" w:hAnsi="Arial" w:cs="Arial"/>
          <w:sz w:val="24"/>
        </w:rPr>
        <w:t>Milano</w:t>
      </w:r>
      <w:r w:rsidR="005A5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oordinatore nazionale) </w:t>
      </w: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  <w:sz w:val="24"/>
        </w:rPr>
      </w:pPr>
    </w:p>
    <w:p w:rsidR="00740F85" w:rsidRDefault="00740F85">
      <w:pPr>
        <w:rPr>
          <w:rFonts w:ascii="Arial" w:hAnsi="Arial" w:cs="Arial"/>
        </w:rPr>
      </w:pPr>
    </w:p>
    <w:p w:rsidR="00740F85" w:rsidRDefault="00740F85">
      <w:pPr>
        <w:rPr>
          <w:rFonts w:ascii="Arial" w:hAnsi="Arial" w:cs="Arial"/>
        </w:rPr>
      </w:pPr>
    </w:p>
    <w:p w:rsidR="005A5514" w:rsidRDefault="00740F85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4D5C97">
        <w:rPr>
          <w:rFonts w:ascii="Arial" w:hAnsi="Arial" w:cs="Arial"/>
          <w:b/>
          <w:sz w:val="24"/>
        </w:rPr>
        <w:t>Titolo dell’iniziativa</w:t>
      </w:r>
      <w:r w:rsidR="00AA1FB3">
        <w:rPr>
          <w:rFonts w:ascii="Arial" w:hAnsi="Arial" w:cs="Arial"/>
          <w:bCs/>
          <w:i/>
          <w:iCs/>
          <w:sz w:val="24"/>
        </w:rPr>
        <w:t xml:space="preserve">: </w:t>
      </w:r>
      <w:r w:rsidR="008A3706">
        <w:rPr>
          <w:rFonts w:ascii="Arial" w:hAnsi="Arial" w:cs="Arial"/>
          <w:bCs/>
          <w:i/>
          <w:iCs/>
          <w:sz w:val="24"/>
        </w:rPr>
        <w:t>La Conferenza sul Futuro dell’Europa: quale ruolo per i cittadini?</w:t>
      </w:r>
    </w:p>
    <w:p w:rsidR="004D5C97" w:rsidRPr="004D5C97" w:rsidRDefault="004D5C97" w:rsidP="002D1415">
      <w:pPr>
        <w:ind w:left="360"/>
        <w:rPr>
          <w:rFonts w:ascii="Arial" w:hAnsi="Arial" w:cs="Arial"/>
          <w:bCs/>
          <w:i/>
          <w:iCs/>
          <w:sz w:val="24"/>
        </w:rPr>
      </w:pPr>
    </w:p>
    <w:p w:rsidR="00F472FD" w:rsidRPr="00933952" w:rsidRDefault="00740F85" w:rsidP="00933952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CDE coordinatore dell’iniziativa</w:t>
      </w:r>
      <w:r>
        <w:rPr>
          <w:rFonts w:ascii="Arial" w:hAnsi="Arial" w:cs="Arial"/>
          <w:sz w:val="24"/>
        </w:rPr>
        <w:t xml:space="preserve">: </w:t>
      </w:r>
      <w:r w:rsidR="008A3706">
        <w:rPr>
          <w:rFonts w:ascii="Arial" w:hAnsi="Arial" w:cs="Arial"/>
          <w:sz w:val="24"/>
        </w:rPr>
        <w:t>CDE Università di Bologna</w:t>
      </w:r>
    </w:p>
    <w:p w:rsidR="00933952" w:rsidRPr="00F472FD" w:rsidRDefault="00933952" w:rsidP="00933952">
      <w:pPr>
        <w:rPr>
          <w:rFonts w:ascii="Arial" w:hAnsi="Arial" w:cs="Arial"/>
          <w:b/>
          <w:i/>
          <w:sz w:val="24"/>
        </w:rPr>
      </w:pPr>
    </w:p>
    <w:p w:rsidR="00740F85" w:rsidRPr="004D5C97" w:rsidRDefault="00740F85" w:rsidP="0047291A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 w:rsidRPr="004D5C97">
        <w:rPr>
          <w:rFonts w:ascii="Arial" w:hAnsi="Arial" w:cs="Arial"/>
          <w:b/>
          <w:sz w:val="24"/>
        </w:rPr>
        <w:t>Sede dell’iniziativa:</w:t>
      </w:r>
      <w:r w:rsidRPr="004D5C97">
        <w:rPr>
          <w:rFonts w:ascii="Arial" w:hAnsi="Arial" w:cs="Arial"/>
          <w:iCs/>
          <w:sz w:val="24"/>
        </w:rPr>
        <w:t xml:space="preserve"> </w:t>
      </w:r>
      <w:r w:rsidR="008A3706">
        <w:rPr>
          <w:rFonts w:ascii="Arial" w:hAnsi="Arial" w:cs="Arial"/>
          <w:bCs/>
          <w:iCs/>
          <w:sz w:val="24"/>
        </w:rPr>
        <w:t>Palazzo D’Accursio, Bologna</w:t>
      </w:r>
    </w:p>
    <w:p w:rsidR="005A5514" w:rsidRDefault="005A5514" w:rsidP="005A5514">
      <w:pPr>
        <w:pStyle w:val="Paragrafoelenco"/>
        <w:rPr>
          <w:rFonts w:ascii="Arial" w:hAnsi="Arial" w:cs="Arial"/>
          <w:i/>
          <w:sz w:val="24"/>
        </w:rPr>
      </w:pPr>
    </w:p>
    <w:p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proofErr w:type="gramStart"/>
      <w:r>
        <w:rPr>
          <w:rFonts w:ascii="Arial" w:hAnsi="Arial" w:cs="Arial"/>
          <w:b/>
          <w:sz w:val="24"/>
        </w:rPr>
        <w:t>Data  dell’iniziativa</w:t>
      </w:r>
      <w:proofErr w:type="gramEnd"/>
      <w:r w:rsidR="00933952">
        <w:rPr>
          <w:rFonts w:ascii="Arial" w:hAnsi="Arial" w:cs="Arial"/>
          <w:b/>
          <w:sz w:val="24"/>
        </w:rPr>
        <w:t xml:space="preserve">: </w:t>
      </w:r>
      <w:r w:rsidR="008A3706">
        <w:rPr>
          <w:rFonts w:ascii="Arial" w:hAnsi="Arial" w:cs="Arial"/>
          <w:b/>
          <w:sz w:val="24"/>
        </w:rPr>
        <w:t>20/10/21; 03/11/21; 17/11/21; 01/12/21</w:t>
      </w:r>
    </w:p>
    <w:p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:rsidR="00740F85" w:rsidRDefault="00740F85" w:rsidP="008A4EC7">
      <w:pPr>
        <w:spacing w:line="360" w:lineRule="auto"/>
        <w:jc w:val="center"/>
        <w:rPr>
          <w:sz w:val="24"/>
        </w:rPr>
      </w:pPr>
    </w:p>
    <w:p w:rsidR="00933952" w:rsidRDefault="00933952" w:rsidP="008A4EC7">
      <w:pPr>
        <w:spacing w:line="360" w:lineRule="auto"/>
        <w:jc w:val="center"/>
        <w:rPr>
          <w:sz w:val="24"/>
        </w:rPr>
      </w:pPr>
    </w:p>
    <w:p w:rsidR="008F6854" w:rsidRPr="00D30402" w:rsidRDefault="008F6854" w:rsidP="008F6854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9E1296" w:rsidTr="00933952">
        <w:tc>
          <w:tcPr>
            <w:tcW w:w="9556" w:type="dxa"/>
            <w:shd w:val="clear" w:color="auto" w:fill="0066FF"/>
          </w:tcPr>
          <w:p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:rsidR="00254EB2" w:rsidRDefault="00F84809" w:rsidP="00933952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S</w:t>
      </w:r>
      <w:r w:rsidR="00254EB2">
        <w:rPr>
          <w:sz w:val="24"/>
          <w:szCs w:val="24"/>
          <w:lang w:eastAsia="it-IT"/>
        </w:rPr>
        <w:t xml:space="preserve">i sono svolti </w:t>
      </w:r>
      <w:r>
        <w:rPr>
          <w:sz w:val="24"/>
          <w:szCs w:val="24"/>
          <w:lang w:eastAsia="it-IT"/>
        </w:rPr>
        <w:t xml:space="preserve">4 incontri </w:t>
      </w:r>
      <w:r w:rsidR="00254EB2">
        <w:rPr>
          <w:sz w:val="24"/>
          <w:szCs w:val="24"/>
          <w:lang w:eastAsia="it-IT"/>
        </w:rPr>
        <w:t>in modalità mista, in presenza, grazie al patrocinio del Comune di Bologna, presso la Sala Anziani di Palazzo D’Accursio, e online attraverso la piattaforma Teams, in uso presso l’Università di Bologna. Il format</w:t>
      </w:r>
      <w:r w:rsidR="00254EB2" w:rsidRPr="00254EB2">
        <w:rPr>
          <w:sz w:val="24"/>
          <w:szCs w:val="24"/>
          <w:lang w:eastAsia="it-IT"/>
        </w:rPr>
        <w:t xml:space="preserve"> degli incontri </w:t>
      </w:r>
      <w:r w:rsidR="00254EB2">
        <w:rPr>
          <w:sz w:val="24"/>
          <w:szCs w:val="24"/>
          <w:lang w:eastAsia="it-IT"/>
        </w:rPr>
        <w:t>era volto a favorire il confronto dinamico con i partecipanti. I</w:t>
      </w:r>
      <w:r w:rsidR="00254EB2" w:rsidRPr="00254EB2">
        <w:rPr>
          <w:sz w:val="24"/>
          <w:szCs w:val="24"/>
          <w:lang w:eastAsia="it-IT"/>
        </w:rPr>
        <w:t xml:space="preserve"> relatori selezionati, esperti del tema individuato, </w:t>
      </w:r>
      <w:r w:rsidR="00260C46">
        <w:rPr>
          <w:sz w:val="24"/>
          <w:szCs w:val="24"/>
          <w:lang w:eastAsia="it-IT"/>
        </w:rPr>
        <w:t>dopo una prima introduzione,</w:t>
      </w:r>
      <w:r w:rsidR="00254EB2">
        <w:rPr>
          <w:sz w:val="24"/>
          <w:szCs w:val="24"/>
          <w:lang w:eastAsia="it-IT"/>
        </w:rPr>
        <w:t xml:space="preserve"> </w:t>
      </w:r>
      <w:r w:rsidR="00260C46">
        <w:rPr>
          <w:sz w:val="24"/>
          <w:szCs w:val="24"/>
          <w:lang w:eastAsia="it-IT"/>
        </w:rPr>
        <w:t>hanno stimolato il dibattito e la discussione attraverso una serie di domande predisposte per ciascuna macro-tematica.</w:t>
      </w:r>
    </w:p>
    <w:p w:rsidR="00254EB2" w:rsidRDefault="00260C46" w:rsidP="00933952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discussione si è quindi arricchita di punti di vista diversi, del laureando, del ricercatore, del semplice cittadino.</w:t>
      </w: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 xml:space="preserve">Pubblico </w:t>
      </w:r>
      <w:r w:rsidR="00C90AD5">
        <w:rPr>
          <w:b/>
          <w:color w:val="17365D" w:themeColor="text2" w:themeShade="BF"/>
          <w:sz w:val="32"/>
          <w:szCs w:val="32"/>
        </w:rPr>
        <w:t>partecipante</w:t>
      </w:r>
      <w:r w:rsidRPr="00D30402">
        <w:rPr>
          <w:b/>
          <w:color w:val="17365D" w:themeColor="text2" w:themeShade="BF"/>
          <w:sz w:val="32"/>
          <w:szCs w:val="32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:rsidTr="002977AB">
        <w:tc>
          <w:tcPr>
            <w:tcW w:w="9556" w:type="dxa"/>
            <w:shd w:val="clear" w:color="auto" w:fill="0066FF"/>
          </w:tcPr>
          <w:p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C43E96" w:rsidRDefault="00F84809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L’iniziativa era dedicata alla società civile, studenti delle scuole superiori e studenti universitari.</w:t>
      </w:r>
    </w:p>
    <w:p w:rsidR="00F84809" w:rsidRDefault="009532D8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sono registrati</w:t>
      </w:r>
      <w:r w:rsidR="00F848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totale 115 partecipanti (43</w:t>
      </w:r>
      <w:r w:rsidR="00B0458A">
        <w:rPr>
          <w:rFonts w:ascii="Arial" w:hAnsi="Arial" w:cs="Arial"/>
          <w:sz w:val="24"/>
        </w:rPr>
        <w:t xml:space="preserve"> presenze e</w:t>
      </w:r>
      <w:r>
        <w:rPr>
          <w:rFonts w:ascii="Arial" w:hAnsi="Arial" w:cs="Arial"/>
          <w:sz w:val="24"/>
        </w:rPr>
        <w:t xml:space="preserve"> 72 partecipanti</w:t>
      </w:r>
      <w:r w:rsidR="00F84809">
        <w:rPr>
          <w:rFonts w:ascii="Arial" w:hAnsi="Arial" w:cs="Arial"/>
          <w:sz w:val="24"/>
        </w:rPr>
        <w:t xml:space="preserve"> online</w:t>
      </w:r>
      <w:r>
        <w:rPr>
          <w:rFonts w:ascii="Arial" w:hAnsi="Arial" w:cs="Arial"/>
          <w:sz w:val="24"/>
        </w:rPr>
        <w:t>)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:rsidTr="002977AB">
        <w:tc>
          <w:tcPr>
            <w:tcW w:w="9556" w:type="dxa"/>
            <w:shd w:val="clear" w:color="auto" w:fill="0066FF"/>
          </w:tcPr>
          <w:p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C43E96" w:rsidRDefault="00F84809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Comune di Bologna, Dipartimento di Scienze giuridiche dell’Università di Bologna</w:t>
      </w:r>
    </w:p>
    <w:p w:rsidR="00363664" w:rsidRDefault="00363664" w:rsidP="00363664">
      <w:pPr>
        <w:pStyle w:val="Default"/>
      </w:pPr>
    </w:p>
    <w:p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Pr="00D30402" w:rsidRDefault="00701C5B" w:rsidP="00C43E96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:rsidTr="00C43E96">
        <w:tc>
          <w:tcPr>
            <w:tcW w:w="9402" w:type="dxa"/>
            <w:shd w:val="clear" w:color="auto" w:fill="0066FF"/>
          </w:tcPr>
          <w:p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:rsidR="00C43E96" w:rsidRPr="00740F85" w:rsidRDefault="00C43E96" w:rsidP="002977AB">
            <w:pPr>
              <w:rPr>
                <w:b/>
                <w:bCs/>
                <w:color w:val="FFFFFF"/>
              </w:rPr>
            </w:pPr>
          </w:p>
        </w:tc>
      </w:tr>
    </w:tbl>
    <w:p w:rsidR="00C43E96" w:rsidRDefault="00C43E96" w:rsidP="00C43E96">
      <w:pPr>
        <w:rPr>
          <w:rFonts w:ascii="Arial" w:hAnsi="Arial" w:cs="Arial"/>
          <w:sz w:val="24"/>
        </w:rPr>
      </w:pPr>
    </w:p>
    <w:p w:rsidR="00AA2F07" w:rsidRDefault="00E873BA" w:rsidP="00D30402">
      <w:pPr>
        <w:pStyle w:val="Default"/>
      </w:pPr>
      <w:r>
        <w:t xml:space="preserve">La realizzazione di un evento in presenza in un periodo di pandemia ha comportato qualche problema organizzativo </w:t>
      </w:r>
      <w:r w:rsidR="00AA2F07">
        <w:t>in più, in termini di impegno e di tempo.</w:t>
      </w:r>
    </w:p>
    <w:p w:rsidR="007C489F" w:rsidRPr="00D30402" w:rsidRDefault="00AA2F07" w:rsidP="00D30402">
      <w:pPr>
        <w:pStyle w:val="Default"/>
      </w:pPr>
      <w:r>
        <w:t xml:space="preserve">Per i protocolli anticovid19 si è dovuto anche limitare il numero dei partecipanti, tuttavia, per </w:t>
      </w:r>
      <w:r w:rsidR="009532D8">
        <w:t>i</w:t>
      </w:r>
      <w:r>
        <w:t>l carattere interattivo del format</w:t>
      </w:r>
      <w:r w:rsidR="009532D8">
        <w:t>,</w:t>
      </w:r>
      <w:r>
        <w:t xml:space="preserve"> questo ha agevolato una </w:t>
      </w:r>
      <w:r w:rsidR="00B96101">
        <w:t xml:space="preserve">partecipazione </w:t>
      </w:r>
      <w:r w:rsidR="00E873BA">
        <w:t xml:space="preserve">molto </w:t>
      </w:r>
      <w:r w:rsidR="00B96101">
        <w:t xml:space="preserve">attiva dei presenti, </w:t>
      </w:r>
      <w:r>
        <w:t>che probabilmente un gruppo più numeroso non avrebbe favorito. Si è registrata una partecipazione meno dinamica</w:t>
      </w:r>
      <w:r w:rsidR="00B96101">
        <w:t xml:space="preserve"> da parte </w:t>
      </w:r>
      <w:r>
        <w:t>degli utenti</w:t>
      </w:r>
      <w:r w:rsidR="00B96101">
        <w:t xml:space="preserve"> </w:t>
      </w:r>
      <w:r w:rsidR="00E873BA">
        <w:t>online</w:t>
      </w:r>
      <w:r>
        <w:t>, forse anche per via di qualche difficoltà tecnica</w:t>
      </w:r>
      <w:r w:rsidR="00E873BA">
        <w:t xml:space="preserve">. </w:t>
      </w:r>
    </w:p>
    <w:sectPr w:rsidR="007C489F" w:rsidRPr="00D30402">
      <w:footerReference w:type="default" r:id="rId10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D9" w:rsidRDefault="004441D9">
      <w:r>
        <w:separator/>
      </w:r>
    </w:p>
  </w:endnote>
  <w:endnote w:type="continuationSeparator" w:id="0">
    <w:p w:rsidR="004441D9" w:rsidRDefault="004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E18B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E18B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D9" w:rsidRDefault="004441D9">
      <w:r>
        <w:separator/>
      </w:r>
    </w:p>
  </w:footnote>
  <w:footnote w:type="continuationSeparator" w:id="0">
    <w:p w:rsidR="004441D9" w:rsidRDefault="0044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75844"/>
    <w:rsid w:val="00082B22"/>
    <w:rsid w:val="00086AE8"/>
    <w:rsid w:val="000B5460"/>
    <w:rsid w:val="000B79DB"/>
    <w:rsid w:val="000C0150"/>
    <w:rsid w:val="000D0630"/>
    <w:rsid w:val="000F2450"/>
    <w:rsid w:val="000F2AEB"/>
    <w:rsid w:val="001320A6"/>
    <w:rsid w:val="001349DF"/>
    <w:rsid w:val="00143D59"/>
    <w:rsid w:val="00165989"/>
    <w:rsid w:val="001854FE"/>
    <w:rsid w:val="001A0DF7"/>
    <w:rsid w:val="001A5AF9"/>
    <w:rsid w:val="001D06F7"/>
    <w:rsid w:val="002035AC"/>
    <w:rsid w:val="00211022"/>
    <w:rsid w:val="00254EB2"/>
    <w:rsid w:val="00260C46"/>
    <w:rsid w:val="002A611D"/>
    <w:rsid w:val="002D1415"/>
    <w:rsid w:val="002D7CC3"/>
    <w:rsid w:val="002E6451"/>
    <w:rsid w:val="002F2816"/>
    <w:rsid w:val="00307B17"/>
    <w:rsid w:val="00325A16"/>
    <w:rsid w:val="0034666D"/>
    <w:rsid w:val="003619CF"/>
    <w:rsid w:val="00363664"/>
    <w:rsid w:val="003B505D"/>
    <w:rsid w:val="003E18B2"/>
    <w:rsid w:val="0042523E"/>
    <w:rsid w:val="00433C8D"/>
    <w:rsid w:val="00440BDA"/>
    <w:rsid w:val="004441D9"/>
    <w:rsid w:val="0047291A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83EF0"/>
    <w:rsid w:val="005A2FD9"/>
    <w:rsid w:val="005A5514"/>
    <w:rsid w:val="005B0D37"/>
    <w:rsid w:val="005B448E"/>
    <w:rsid w:val="005F1515"/>
    <w:rsid w:val="00627283"/>
    <w:rsid w:val="00632D1D"/>
    <w:rsid w:val="00654E73"/>
    <w:rsid w:val="00677449"/>
    <w:rsid w:val="006956D3"/>
    <w:rsid w:val="00696F16"/>
    <w:rsid w:val="00697573"/>
    <w:rsid w:val="006A5E4C"/>
    <w:rsid w:val="006B7088"/>
    <w:rsid w:val="006D4631"/>
    <w:rsid w:val="006D507E"/>
    <w:rsid w:val="006E0288"/>
    <w:rsid w:val="006E11F7"/>
    <w:rsid w:val="006E1B8F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3706"/>
    <w:rsid w:val="008A4EC7"/>
    <w:rsid w:val="008B6597"/>
    <w:rsid w:val="008F6854"/>
    <w:rsid w:val="00904979"/>
    <w:rsid w:val="00933952"/>
    <w:rsid w:val="009511E2"/>
    <w:rsid w:val="009532D8"/>
    <w:rsid w:val="009636EA"/>
    <w:rsid w:val="00983A98"/>
    <w:rsid w:val="009A49F1"/>
    <w:rsid w:val="009A7CF5"/>
    <w:rsid w:val="009E1296"/>
    <w:rsid w:val="00A03FDF"/>
    <w:rsid w:val="00A15527"/>
    <w:rsid w:val="00A237B0"/>
    <w:rsid w:val="00A4397C"/>
    <w:rsid w:val="00A66397"/>
    <w:rsid w:val="00A94B25"/>
    <w:rsid w:val="00A96344"/>
    <w:rsid w:val="00AA1FB3"/>
    <w:rsid w:val="00AA2F07"/>
    <w:rsid w:val="00B01FE2"/>
    <w:rsid w:val="00B04488"/>
    <w:rsid w:val="00B0458A"/>
    <w:rsid w:val="00B1553B"/>
    <w:rsid w:val="00B45ACD"/>
    <w:rsid w:val="00B64B8C"/>
    <w:rsid w:val="00B74E20"/>
    <w:rsid w:val="00B76966"/>
    <w:rsid w:val="00B84357"/>
    <w:rsid w:val="00B95CB6"/>
    <w:rsid w:val="00B96101"/>
    <w:rsid w:val="00BC3F0A"/>
    <w:rsid w:val="00BD3BDC"/>
    <w:rsid w:val="00BE5CCD"/>
    <w:rsid w:val="00BE5ED4"/>
    <w:rsid w:val="00C33319"/>
    <w:rsid w:val="00C43E96"/>
    <w:rsid w:val="00C5097A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D10C1D"/>
    <w:rsid w:val="00D30402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873BA"/>
    <w:rsid w:val="00EB634C"/>
    <w:rsid w:val="00EC58E4"/>
    <w:rsid w:val="00ED466B"/>
    <w:rsid w:val="00ED6FD4"/>
    <w:rsid w:val="00F004EF"/>
    <w:rsid w:val="00F005BE"/>
    <w:rsid w:val="00F30525"/>
    <w:rsid w:val="00F41C90"/>
    <w:rsid w:val="00F431B9"/>
    <w:rsid w:val="00F472FD"/>
    <w:rsid w:val="00F57381"/>
    <w:rsid w:val="00F7164A"/>
    <w:rsid w:val="00F84809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80DC-5D2B-4572-B12D-D951244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2019-01-11T11:42:00Z</cp:lastPrinted>
  <dcterms:created xsi:type="dcterms:W3CDTF">2021-12-22T12:53:00Z</dcterms:created>
  <dcterms:modified xsi:type="dcterms:W3CDTF">2021-12-22T12:53:00Z</dcterms:modified>
</cp:coreProperties>
</file>